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4" w:leftChars="-295" w:hanging="663" w:hangingChars="221"/>
        <w:rPr>
          <w:rFonts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2024年教研教改与教学成果培育申报指导专题培训课程表</w:t>
      </w:r>
    </w:p>
    <w:tbl>
      <w:tblPr>
        <w:tblStyle w:val="4"/>
        <w:tblW w:w="9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3680"/>
        <w:gridCol w:w="970"/>
        <w:gridCol w:w="2441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课程模块</w:t>
            </w:r>
          </w:p>
        </w:tc>
        <w:tc>
          <w:tcPr>
            <w:tcW w:w="3680" w:type="dxa"/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970" w:type="dxa"/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主讲人</w:t>
            </w:r>
          </w:p>
        </w:tc>
        <w:tc>
          <w:tcPr>
            <w:tcW w:w="244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单位与职务</w:t>
            </w:r>
          </w:p>
        </w:tc>
        <w:tc>
          <w:tcPr>
            <w:tcW w:w="99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时长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(分钟)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教学成果内涵培育</w:t>
            </w: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教学成果的正确理解与认知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黄明东</w:t>
            </w:r>
          </w:p>
        </w:tc>
        <w:tc>
          <w:tcPr>
            <w:tcW w:w="2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武汉大学教育科学研究院教授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高校教师如何做好教学研究培育凝练教学成果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冯博琴</w:t>
            </w:r>
          </w:p>
        </w:tc>
        <w:tc>
          <w:tcPr>
            <w:tcW w:w="2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西安交通大学教授、国家级教学名师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从教学成果奖看教学改革的理念与实践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李艳梅</w:t>
            </w:r>
          </w:p>
        </w:tc>
        <w:tc>
          <w:tcPr>
            <w:tcW w:w="2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清华大学致理书院院长、国家级教学名师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教学成果培育之如何进行课题研究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黄明东</w:t>
            </w:r>
          </w:p>
        </w:tc>
        <w:tc>
          <w:tcPr>
            <w:tcW w:w="2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武汉大学教育科学研究院教授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教学成果培育之特色如何凝练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黄明东</w:t>
            </w:r>
          </w:p>
        </w:tc>
        <w:tc>
          <w:tcPr>
            <w:tcW w:w="24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武汉大学教育科学研究院教授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教学改革创新实践</w:t>
            </w: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从教学创新大赛视角把握教学创新的设计与实施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熊庆旭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北京航空航天大学电子信息工程学院教授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应用研究性教学法实现课程思政模式创新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  娟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西北工业大学力学与土木建筑学院教授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基于敏捷理念的信息化教学设计与教学创新实践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  宁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课堂教学评价创新——如何进行有效教学反馈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森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浙江理工大学信息化办公室副主任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新工科背景下的教学创新与实践——以中北大学《机械原理》课程为例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薄瑞峰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中北大学机械工程学院教授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以“三实三新”为特色的播音主持课程教学创新设计与实践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颖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浙江工业大学人文学院教授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教学研究方法策略</w:t>
            </w: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高校教师如何做好教学研究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冯博琴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西安交通大学教授、国家级教学名师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如何进行可落地的教学研究——以“大学计算机系列通识课程”为例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  宏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南开大学计算机学院教授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教学研究主题选择与案例分析</w:t>
            </w:r>
          </w:p>
        </w:tc>
        <w:tc>
          <w:tcPr>
            <w:tcW w:w="970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熊庆年</w:t>
            </w:r>
          </w:p>
        </w:tc>
        <w:tc>
          <w:tcPr>
            <w:tcW w:w="244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复旦大学高等教育研究所原所长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教学研究主要方法及适用性解析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教学研究论文选题凝练的主要策略与案例分析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教学研究论文主要写作规范解析</w:t>
            </w:r>
          </w:p>
        </w:tc>
        <w:tc>
          <w:tcPr>
            <w:tcW w:w="9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教研教改项目申报</w:t>
            </w: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教研项目申报的常见问题与应对策略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冯博琴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西安交通大学教授、国家级教学名师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教学研究项目的规划与申报技巧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曹敏惠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华中农业大学理学院副院长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高校教师如何培育教学改革项目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谢寿安</w:t>
            </w:r>
          </w:p>
        </w:tc>
        <w:tc>
          <w:tcPr>
            <w:tcW w:w="2441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西北农林科技大学教授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高校教研项目申报之“6书”填报及管理要点</w:t>
            </w:r>
          </w:p>
        </w:tc>
        <w:tc>
          <w:tcPr>
            <w:tcW w:w="9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教改论文的撰写与发表：作者的视角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贾  蕃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西南交通大学外国语学院副教授、硕士生导师</w:t>
            </w:r>
          </w:p>
        </w:tc>
        <w:tc>
          <w:tcPr>
            <w:tcW w:w="9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教学成果奖申报经验</w:t>
            </w: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教学成果凝炼与成果奖申报系列课程——高水平教学成果凝炼的4个感悟</w:t>
            </w:r>
          </w:p>
        </w:tc>
        <w:tc>
          <w:tcPr>
            <w:tcW w:w="970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冯博琴</w:t>
            </w:r>
          </w:p>
        </w:tc>
        <w:tc>
          <w:tcPr>
            <w:tcW w:w="244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西安交通大学教授、国家级教学名师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教学成果凝练与成果奖申报系列课程——凝炼的难重点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教学成果凝炼与成果奖申报系列课程——凝炼范本闪光点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教学成果凝炼与成果奖申报系列课程——把握国奖关注点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教学成果凝炼与成果奖申报系列课程——展现成果亮点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教学成果凝炼与成果奖申报系列课程——明晰评审观察点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教学成果凝炼与成果奖申报系列课程——把握申报书落笔关键点落笔关键点</w:t>
            </w:r>
          </w:p>
        </w:tc>
        <w:tc>
          <w:tcPr>
            <w:tcW w:w="970" w:type="dxa"/>
            <w:vMerge w:val="continue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理清主线 凝练特色一一教学成果奖的总结与申报技巧和注意事项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赖绍聪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西北大学教授、国家级教学名师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新农科视角下国家级教学成果奖规则解读与培育要点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谢寿安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西北农林科技大学教授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西北工业大学国家教学成果一等奖培育与申报经验分享</w:t>
            </w:r>
          </w:p>
        </w:tc>
        <w:tc>
          <w:tcPr>
            <w:tcW w:w="97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李铁虎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西北工业大学教授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</w:tbl>
    <w:p>
      <w:pPr>
        <w:widowControl/>
        <w:spacing w:before="156" w:beforeLines="50"/>
        <w:jc w:val="left"/>
        <w:textAlignment w:val="center"/>
        <w:rPr>
          <w:rFonts w:ascii="Times New Roman" w:hAnsi="Times New Roman" w:eastAsia="仿宋_GB2312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lang w:bidi="ar"/>
        </w:rPr>
        <w:t>说明：</w:t>
      </w: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>1.个别课程或稍有调整，请以平台最终发布课程为准；</w:t>
      </w:r>
    </w:p>
    <w:p>
      <w:pPr>
        <w:widowControl/>
        <w:jc w:val="left"/>
        <w:textAlignment w:val="center"/>
        <w:rPr>
          <w:rFonts w:ascii="Times New Roman" w:hAnsi="Times New Roman" w:eastAsia="仿宋_GB2312" w:cs="Times New Roman"/>
          <w:kern w:val="0"/>
          <w:sz w:val="24"/>
          <w:lang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kern w:val="0"/>
          <w:sz w:val="24"/>
          <w:lang w:bidi="ar"/>
        </w:rPr>
        <w:t xml:space="preserve">      2.课程主讲人职务为课程录制时的职务。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37183B11"/>
    <w:rsid w:val="3718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2024-04-01T01:22:00Z</dcterms:created>
  <dc:creator>Ù很diǎo</dc:creator>
  <cp:lastModifiedBy>Ù很diǎo</cp:lastModifiedBy>
  <dcterms:modified xsi:type="dcterms:W3CDTF">2024-04-01T01:23:02Z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87C036BE86844AB8B5A0D046F4C27192_11</vt:lpwstr>
  </property>
</Properties>
</file>