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4" w:leftChars="-200" w:hanging="416" w:hangingChars="139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附件1</w:t>
      </w:r>
    </w:p>
    <w:p>
      <w:pPr>
        <w:spacing w:line="240" w:lineRule="auto"/>
        <w:jc w:val="center"/>
        <w:rPr>
          <w:rFonts w:hint="eastAsia" w:ascii="方正小标宋简体" w:hAnsi="Times New Roman" w:eastAsia="方正小标宋简体" w:cs="Times New Roman"/>
          <w:bCs/>
          <w:sz w:val="36"/>
          <w:szCs w:val="36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Cs/>
          <w:sz w:val="36"/>
          <w:szCs w:val="36"/>
          <w:lang w:val="en-US" w:eastAsia="zh-CN"/>
        </w:rPr>
        <w:t>2024年就业创业指导教师专题网络培训班（第一期）课程表</w:t>
      </w:r>
    </w:p>
    <w:tbl>
      <w:tblPr>
        <w:tblStyle w:val="4"/>
        <w:tblW w:w="5021" w:type="pct"/>
        <w:tblInd w:w="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3355"/>
        <w:gridCol w:w="1166"/>
        <w:gridCol w:w="2092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模块</w:t>
            </w:r>
          </w:p>
        </w:tc>
        <w:tc>
          <w:tcPr>
            <w:tcW w:w="1960" w:type="pct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681" w:type="pct"/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222" w:type="pct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单位与职务</w:t>
            </w:r>
          </w:p>
        </w:tc>
        <w:tc>
          <w:tcPr>
            <w:tcW w:w="521" w:type="pct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时长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模块一：就业指导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615" w:type="pct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就业政策解读</w:t>
            </w:r>
          </w:p>
        </w:tc>
        <w:tc>
          <w:tcPr>
            <w:tcW w:w="1960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把握“十四五”时期我国就业和劳动关系新变化和新机遇，实现更加充分更高质量就业</w:t>
            </w:r>
          </w:p>
        </w:tc>
        <w:tc>
          <w:tcPr>
            <w:tcW w:w="681" w:type="pct"/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  健</w:t>
            </w:r>
          </w:p>
        </w:tc>
        <w:tc>
          <w:tcPr>
            <w:tcW w:w="122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中国劳动关系学院教授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机遇——后疫情就业政策解读</w:t>
            </w:r>
          </w:p>
        </w:tc>
        <w:tc>
          <w:tcPr>
            <w:tcW w:w="681" w:type="pct"/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  选</w:t>
            </w:r>
          </w:p>
        </w:tc>
        <w:tc>
          <w:tcPr>
            <w:tcW w:w="122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中南大学航空航天学院辅导员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发展——新时代下的就业新特征</w:t>
            </w:r>
          </w:p>
        </w:tc>
        <w:tc>
          <w:tcPr>
            <w:tcW w:w="681" w:type="pct"/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  选</w:t>
            </w:r>
          </w:p>
        </w:tc>
        <w:tc>
          <w:tcPr>
            <w:tcW w:w="122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中南大学航空航天学院辅导员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restar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职业规划指导</w:t>
            </w:r>
          </w:p>
        </w:tc>
        <w:tc>
          <w:tcPr>
            <w:tcW w:w="1960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大学生职业生涯规划指导——正念生活</w:t>
            </w:r>
          </w:p>
        </w:tc>
        <w:tc>
          <w:tcPr>
            <w:tcW w:w="681" w:type="pct"/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李瑞鹏</w:t>
            </w:r>
          </w:p>
        </w:tc>
        <w:tc>
          <w:tcPr>
            <w:tcW w:w="122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加州健康研究院正念导师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职业生涯规划——自我探索能力篇</w:t>
            </w:r>
          </w:p>
        </w:tc>
        <w:tc>
          <w:tcPr>
            <w:tcW w:w="681" w:type="pct"/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张祎頔</w:t>
            </w:r>
          </w:p>
        </w:tc>
        <w:tc>
          <w:tcPr>
            <w:tcW w:w="122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北京大学光华管理学院职业发展中心咨询顾问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职业生涯规划——自我探索兴趣篇</w:t>
            </w:r>
          </w:p>
        </w:tc>
        <w:tc>
          <w:tcPr>
            <w:tcW w:w="681" w:type="pct"/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张祎頔</w:t>
            </w:r>
          </w:p>
        </w:tc>
        <w:tc>
          <w:tcPr>
            <w:tcW w:w="122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北京大学光华管理学院职业发展中心咨询顾问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职业生涯规划之工作世界探索</w:t>
            </w:r>
          </w:p>
        </w:tc>
        <w:tc>
          <w:tcPr>
            <w:tcW w:w="681" w:type="pct"/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  平</w:t>
            </w:r>
          </w:p>
        </w:tc>
        <w:tc>
          <w:tcPr>
            <w:tcW w:w="122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北京大学生命科学学院党委副书记</w:t>
            </w:r>
          </w:p>
        </w:tc>
        <w:tc>
          <w:tcPr>
            <w:tcW w:w="521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就业准备指导</w:t>
            </w: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如何做好大学生就业指导工作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  选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中南大学航空航天学院辅导员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职业生涯探索与就业准备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刘海滨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东北师范大学就业创业教育研究院执行院长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破局——新形势就业问题应对举措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  选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中南大学航空航天学院辅导员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应对策略——慢就业、懒就业现象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 选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中南大学航空航天学院辅导员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职业素养培育</w:t>
            </w: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大学生职业生涯规划指导——职业素养之积极心理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叶初阳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中国科学院心理研究所讲师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大学生职业生涯规划指导——职业素养之沟通表达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叶初阳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中国科学院心理研究所讲师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大学生就业指导：向未来-智能时代的职业素养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张振笋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齐齐哈尔工程学院副院长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000" w:type="pct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模块二：创业指导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创新创业教育理论与方法</w:t>
            </w: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高校创新创业教育模式与实践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陈霞玲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国家教育行政学院学校管理教研室副教授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创新创业教育背景下的学生成长与发展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陈霞玲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国家教育行政学院科研处副处长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创新创业行业认知训练--认知与选择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高泽金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武汉软件工程职业学院教授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创新创业课程与教学</w:t>
            </w: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创新创业教育五大教学要素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张国庆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中关村加一战略新兴产业人才发展中心理事长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创新创业教育“四千”精神的启示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张振笋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齐齐哈尔工程学院副院长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从互联网+项目培育，谈创业通识课案例开发与实践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尹胜君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哈尔滨工业大学创新创业教育委员会秘书长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跨越从创新到创业的临界点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彭建辉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青岛中元云册创新科技有限公司CEO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专创融合设计与实现</w:t>
            </w: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专创融合的国际经验分析与方法借鉴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静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英国创新创业教育者学会研究员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双创通识与专创融合的探索与实践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高继慧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哈尔滨工业大学教授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“四步四进”打造专创融合课程体系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张国庆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中关村加一战略新兴产业人才发展中心理事长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专创融合基地建设经验与实践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毛付俊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梯队科技（北京）有限公司总裁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5" w:type="pct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“互联网+”大赛参赛指导</w:t>
            </w: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优秀参赛项目的七大显著特征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尚蓬勃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北京米有校园科技有限公司联合创始人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高效备赛五步法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尚蓬勃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北京米有校园科技有限公司联合创始人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“互联网+”大赛带给大学生的五大思维和九项能力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尚蓬勃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北京米有校园科技有限公司联合创始人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15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“互联网＋”大学生创新创业大赛参赛指导经验分享</w:t>
            </w:r>
          </w:p>
        </w:tc>
        <w:tc>
          <w:tcPr>
            <w:tcW w:w="68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畅</w:t>
            </w:r>
          </w:p>
        </w:tc>
        <w:tc>
          <w:tcPr>
            <w:tcW w:w="1222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黑龙江八一农垦大学双创指导教师</w:t>
            </w:r>
          </w:p>
        </w:tc>
        <w:tc>
          <w:tcPr>
            <w:tcW w:w="521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</w:tbl>
    <w:p>
      <w:pPr>
        <w:spacing w:before="156" w:beforeLines="50"/>
        <w:jc w:val="left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说明</w:t>
      </w:r>
      <w:r>
        <w:rPr>
          <w:rFonts w:ascii="Times New Roman" w:hAnsi="Times New Roman" w:eastAsia="仿宋_GB2312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个别课程或稍有调整，请以平台最终发布课程为准；</w:t>
      </w:r>
    </w:p>
    <w:p>
      <w:pPr>
        <w:jc w:val="left"/>
        <w:rPr>
          <w:rFonts w:hint="eastAsia" w:ascii="Times New Roman" w:hAnsi="Times New Roman" w:eastAsia="仿宋_GB2312" w:cs="Times New Roman"/>
          <w:kern w:val="0"/>
          <w:sz w:val="24"/>
          <w:lang w:eastAsia="zh-CN" w:bidi="ar"/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2.课程主讲人职务为课程录制时的职务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Times New Roman" w:hAnsi="Times New Roman" w:eastAsia="仿宋_GB2312" w:cs="Times New Roman"/>
          <w:kern w:val="0"/>
          <w:sz w:val="24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298C5D9E"/>
    <w:rsid w:val="298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2024-04-01T01:14:00Z</dcterms:created>
  <dc:creator>Ù很diǎo</dc:creator>
  <cp:lastModifiedBy>Ù很diǎo</cp:lastModifiedBy>
  <dcterms:modified xsi:type="dcterms:W3CDTF">2024-04-01T01:14:41Z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1B21B68B59F545AE82720E1E4295CE58_11</vt:lpwstr>
  </property>
</Properties>
</file>