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附件1</w:t>
      </w:r>
    </w:p>
    <w:p>
      <w:pPr>
        <w:ind w:firstLine="720" w:firstLineChars="200"/>
        <w:jc w:val="center"/>
        <w:rPr>
          <w:rFonts w:ascii="Times New Roman" w:hAnsi="Times New Roman" w:eastAsia="仿宋_GB2312" w:cs="Times New Roman"/>
          <w:kern w:val="0"/>
        </w:rPr>
      </w:pPr>
      <w:bookmarkStart w:id="0" w:name="_GoBack"/>
      <w:r>
        <w:rPr>
          <w:rFonts w:hint="eastAsia" w:ascii="方正小标宋简体" w:hAnsi="黑体" w:eastAsia="方正小标宋简体" w:cs="Times New Roman"/>
          <w:sz w:val="36"/>
          <w:szCs w:val="36"/>
        </w:rPr>
        <w:t>2024年辅导员生涯规划教育和就业指导能力提升班(第一期)课程表</w:t>
      </w:r>
    </w:p>
    <w:bookmarkEnd w:id="0"/>
    <w:tbl>
      <w:tblPr>
        <w:tblStyle w:val="5"/>
        <w:tblpPr w:leftFromText="180" w:rightFromText="180" w:vertAnchor="text" w:horzAnchor="page" w:tblpX="1425" w:tblpY="618"/>
        <w:tblOverlap w:val="never"/>
        <w:tblW w:w="547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0" w:type="dxa"/>
          <w:left w:w="108" w:type="dxa"/>
          <w:bottom w:w="40" w:type="dxa"/>
          <w:right w:w="108" w:type="dxa"/>
        </w:tblCellMar>
      </w:tblPr>
      <w:tblGrid>
        <w:gridCol w:w="1060"/>
        <w:gridCol w:w="3864"/>
        <w:gridCol w:w="1121"/>
        <w:gridCol w:w="3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90" w:hRule="atLeast"/>
          <w:tblHeader/>
        </w:trPr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课程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模块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课程名称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主讲人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单位与职务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就业形势分析与政策解读</w:t>
            </w:r>
          </w:p>
        </w:tc>
        <w:tc>
          <w:tcPr>
            <w:tcW w:w="1972" w:type="pct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《“十四五”就业促进规划》解读</w:t>
            </w:r>
          </w:p>
        </w:tc>
        <w:tc>
          <w:tcPr>
            <w:tcW w:w="5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易定红</w:t>
            </w:r>
          </w:p>
        </w:tc>
        <w:tc>
          <w:tcPr>
            <w:tcW w:w="1914" w:type="pct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中国人民大学劳动人事学院教授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高校毕业生就业特点与趋势分析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岳昌君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京大学教育学院副院长、教育经济研究所副所长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高校最新创业教育政策形势分析及双创教育体系的顶层设计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王占仁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东北师范大学副校长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弘扬创新创业精神 提升创新创业能力</w:t>
            </w:r>
          </w:p>
        </w:tc>
        <w:tc>
          <w:tcPr>
            <w:tcW w:w="5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朱  伟</w:t>
            </w:r>
          </w:p>
        </w:tc>
        <w:tc>
          <w:tcPr>
            <w:tcW w:w="1914" w:type="pct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西安电子科技大学空间科学与技术学院党委书记、创新创业学院副院长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机遇——后疫情就业政策解读</w:t>
            </w:r>
          </w:p>
        </w:tc>
        <w:tc>
          <w:tcPr>
            <w:tcW w:w="5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连  选</w:t>
            </w:r>
          </w:p>
        </w:tc>
        <w:tc>
          <w:tcPr>
            <w:tcW w:w="19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中南大学自动化学院辅导员，GCDF全球职业规划师，BCC全球生涯教练，全国高校毕业生就业能力培训基地职业指导师，高校辅导员年度人物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发展——新时代下的就业新特征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破局——新形势就业问题应对举措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困境——毕业生就业现状分析（上）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困境——毕业生就业现状分析（下）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社会现状——面临的就业矛盾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创新创业教育与大赛指导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创新创业教育与就业的关系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  静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英国创新创业教育者学会研究员，中国教育发展战略学会艺术教育专业委员会常务理事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数智时代的国外大学生创业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施永川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温州大学创新创业学院院长、教授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跨越从创新到创业的临界点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彭建辉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青岛中元云册创新科技有限公司创始人兼CEO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创新创业教育背景下的学生成长与发展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陈霞玲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国家教育行政学院科研处副处长，副研究员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“融通式”协同育人机制的构建——地方综合性大学创新创业教育的探索与实践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闫小兵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河北大学创新创业指导中心主任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创新创业——机会与创意</w:t>
            </w:r>
          </w:p>
        </w:tc>
        <w:tc>
          <w:tcPr>
            <w:tcW w:w="5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谢  强</w:t>
            </w:r>
          </w:p>
        </w:tc>
        <w:tc>
          <w:tcPr>
            <w:tcW w:w="19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创智汇德（北京）科技发展有限公司董事长，教育部万名创新创业优秀导师库成员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创新创业——团队组建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大学生创新创业法律实务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廖  芳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广西师范大学创新创业学院教学科研部部长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如何备赛大学生创新创业大赛</w:t>
            </w:r>
          </w:p>
        </w:tc>
        <w:tc>
          <w:tcPr>
            <w:tcW w:w="5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俞金波</w:t>
            </w:r>
          </w:p>
        </w:tc>
        <w:tc>
          <w:tcPr>
            <w:tcW w:w="19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宁波大学阳明学院党委书记、副教授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如何备赛大学生职业规划大赛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中国国际“互联网+”大学生创新创业大赛整体解读及优秀项目呈现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  衍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成都曦和海昇投资管理有限公司联合创始人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双创大赛参赛技能提升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蔡本睿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北京校企合作促进会常务副会长、研究员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“互联网＋”大学生创新创业大赛参赛指导经验分享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  畅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黑龙江八一农垦大学双创指导教师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参赛项目迭代“五重楼”核心模型</w:t>
            </w:r>
          </w:p>
        </w:tc>
        <w:tc>
          <w:tcPr>
            <w:tcW w:w="5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尚蓬勃</w:t>
            </w:r>
          </w:p>
        </w:tc>
        <w:tc>
          <w:tcPr>
            <w:tcW w:w="19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北京米有校园科技有限公司联合创始人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高效备赛五步法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就业指导理论与实务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高校辅导员职业生涯规划与就业指导工作的理念与实务——“不确定时代”大学生需要什么样的职业生涯规划与就业指导</w:t>
            </w:r>
          </w:p>
        </w:tc>
        <w:tc>
          <w:tcPr>
            <w:tcW w:w="572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田振敏</w:t>
            </w:r>
          </w:p>
        </w:tc>
        <w:tc>
          <w:tcPr>
            <w:tcW w:w="1914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西南大学招生就业处就业指导与管理科科长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高校辅导员职业生涯规划与就业指导工作的理念与实务——基于优势的职业定位法</w:t>
            </w:r>
          </w:p>
        </w:tc>
        <w:tc>
          <w:tcPr>
            <w:tcW w:w="572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辅导员如何引导大学生进行职业生涯规划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李兴华</w:t>
            </w:r>
          </w:p>
        </w:tc>
        <w:tc>
          <w:tcPr>
            <w:tcW w:w="19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南京大学化学化工学院党委副书记，副教授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如何做好大学生就业指导工作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连  选</w:t>
            </w:r>
          </w:p>
        </w:tc>
        <w:tc>
          <w:tcPr>
            <w:tcW w:w="19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中南大学自动化学院辅导员，GCDF全球职业规划师，BCC全球生涯教练，全国高校毕业生就业能力培训基地职业指导师，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高校辅导员年度人物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实习助力大学生提升就业求职竞争力系列微课-创业指导</w:t>
            </w: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丁  伟</w:t>
            </w:r>
          </w:p>
        </w:tc>
        <w:tc>
          <w:tcPr>
            <w:tcW w:w="1914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实习僧联合创始人，“智慧巴蜀”川渝大学生职业指导百名专家团专家，重庆市人力资源研究院特聘专家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实习助力大学生提升就业求职竞争力系列微课-就业观察</w:t>
            </w:r>
          </w:p>
        </w:tc>
        <w:tc>
          <w:tcPr>
            <w:tcW w:w="572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实习助力大学生提升就业求职竞争力系列微课-如何帮助学生找实习</w:t>
            </w:r>
          </w:p>
        </w:tc>
        <w:tc>
          <w:tcPr>
            <w:tcW w:w="572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实习助力大学生提升就业求职竞争力系列微课-实习如何在就业中应用</w:t>
            </w:r>
          </w:p>
        </w:tc>
        <w:tc>
          <w:tcPr>
            <w:tcW w:w="572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大学生就业指导：大学生创业准备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施永川</w:t>
            </w:r>
          </w:p>
        </w:tc>
        <w:tc>
          <w:tcPr>
            <w:tcW w:w="19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温州大学创新创业学院院长、教授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保持好奇——多维并举探索职场世界</w:t>
            </w:r>
          </w:p>
        </w:tc>
        <w:tc>
          <w:tcPr>
            <w:tcW w:w="572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连  选</w:t>
            </w:r>
          </w:p>
        </w:tc>
        <w:tc>
          <w:tcPr>
            <w:tcW w:w="1914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中南大学自动化学院辅导员，GCDF全球职业规划师，BCC全球生涯教练，全国高校毕业生就业能力培训基地职业指导师，</w:t>
            </w:r>
            <w:r>
              <w:rPr>
                <w:rStyle w:val="8"/>
                <w:rFonts w:hint="default"/>
                <w:sz w:val="24"/>
                <w:szCs w:val="24"/>
                <w:lang w:bidi="ar"/>
              </w:rPr>
              <w:t>高校辅导员年度人物”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科学定位——职业价值的澄清与选择</w:t>
            </w:r>
          </w:p>
        </w:tc>
        <w:tc>
          <w:tcPr>
            <w:tcW w:w="572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主动出击——成为积极的求职行动者</w:t>
            </w:r>
          </w:p>
        </w:tc>
        <w:tc>
          <w:tcPr>
            <w:tcW w:w="572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如何提升毕业生求职面试技巧之助学生决胜无领导小组讨论</w:t>
            </w:r>
          </w:p>
        </w:tc>
        <w:tc>
          <w:tcPr>
            <w:tcW w:w="572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如何提升毕业生求职面试技巧之结构化面试通关技巧</w:t>
            </w:r>
          </w:p>
        </w:tc>
        <w:tc>
          <w:tcPr>
            <w:tcW w:w="572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如何提升毕业生求职面试技巧之让学生成为一名演讲达人</w:t>
            </w:r>
          </w:p>
        </w:tc>
        <w:tc>
          <w:tcPr>
            <w:tcW w:w="572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如何提升毕业生求职面试技巧之面试要注意的礼仪有哪些</w:t>
            </w:r>
          </w:p>
        </w:tc>
        <w:tc>
          <w:tcPr>
            <w:tcW w:w="572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hint="eastAsia" w:eastAsia="仿宋_GB2312"/>
                <w:b/>
                <w:kern w:val="0"/>
                <w:sz w:val="24"/>
              </w:rPr>
              <w:t>职场适应与就业权益保障</w:t>
            </w: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赋能成长——“校园人”转变为“职场人”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连  选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中南大学自动化学院辅导员，GCDF全球职业规划师，BCC全球生涯教练，全国高校毕业生就业能力培训基地职业指导师，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高校辅导员年度人物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职场适应能力的内涵</w:t>
            </w:r>
          </w:p>
        </w:tc>
        <w:tc>
          <w:tcPr>
            <w:tcW w:w="5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蒋建荣</w:t>
            </w:r>
          </w:p>
        </w:tc>
        <w:tc>
          <w:tcPr>
            <w:tcW w:w="19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南开大学副教授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职场与学校的差别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大学生初涉职场时的角色与行为转变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个人品牌建设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办公室人际关系处理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适时恰当展示自己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大学生初涉职场常见问题及对策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《关于维护新就业形态劳动者劳动保障权益的指导意见》解读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常  凯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中国人民大学劳动人事学院教授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快速了解劳动关系、劳动法有多重要</w:t>
            </w:r>
          </w:p>
        </w:tc>
        <w:tc>
          <w:tcPr>
            <w:tcW w:w="5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  侃</w:t>
            </w:r>
          </w:p>
        </w:tc>
        <w:tc>
          <w:tcPr>
            <w:tcW w:w="19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中国劳动关系学院劳动关系与工会研究院研究员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入职前权利主张与谈判有哪些技巧与策略</w:t>
            </w:r>
          </w:p>
        </w:tc>
        <w:tc>
          <w:tcPr>
            <w:tcW w:w="572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签订劳动合同的避“坑”指南</w:t>
            </w:r>
          </w:p>
        </w:tc>
        <w:tc>
          <w:tcPr>
            <w:tcW w:w="572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fldChar w:fldCharType="begin"/>
            </w:r>
            <w:r>
              <w:instrText xml:space="preserve"> HYPERLINK "https://study.enaea.edu.cn/kecheng/detail_298661" \o "https://study.enaea.edu.cn/kecheng/detail_298661" </w:instrText>
            </w:r>
            <w: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u w:val="none"/>
              </w:rPr>
              <w:t>教你避开“五险一金”的认知误区</w:t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572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户口、档案适合存在哪儿</w:t>
            </w:r>
          </w:p>
        </w:tc>
        <w:tc>
          <w:tcPr>
            <w:tcW w:w="572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职场需要在意的安全常识</w:t>
            </w:r>
          </w:p>
        </w:tc>
        <w:tc>
          <w:tcPr>
            <w:tcW w:w="572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权益受损时去哪里找援助</w:t>
            </w:r>
          </w:p>
        </w:tc>
        <w:tc>
          <w:tcPr>
            <w:tcW w:w="572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108" w:type="dxa"/>
            <w:bottom w:w="4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54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9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如何有效和圆满处理劳动争议</w:t>
            </w:r>
          </w:p>
        </w:tc>
        <w:tc>
          <w:tcPr>
            <w:tcW w:w="57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14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b/>
          <w:bCs/>
        </w:rPr>
      </w:pPr>
    </w:p>
    <w:p>
      <w:pPr>
        <w:rPr>
          <w:rFonts w:ascii="Times New Roman" w:hAnsi="Times New Roman" w:eastAsia="仿宋_GB2312" w:cs="Times New Roman"/>
          <w:kern w:val="0"/>
        </w:rPr>
      </w:pPr>
    </w:p>
    <w:p>
      <w:pPr>
        <w:ind w:firstLine="420" w:firstLineChars="200"/>
        <w:rPr>
          <w:rFonts w:ascii="Times New Roman" w:hAnsi="Times New Roman" w:eastAsia="仿宋_GB2312" w:cs="Times New Roman"/>
          <w:kern w:val="0"/>
        </w:rPr>
      </w:pPr>
      <w:r>
        <w:rPr>
          <w:rFonts w:ascii="Times New Roman" w:hAnsi="Times New Roman" w:eastAsia="仿宋_GB2312" w:cs="Times New Roman"/>
          <w:kern w:val="0"/>
        </w:rPr>
        <w:t>说明：1.个别课程或稍有调整，请以平台最终发布课程为准；</w:t>
      </w:r>
    </w:p>
    <w:p>
      <w:pPr>
        <w:ind w:firstLine="1050" w:firstLineChars="500"/>
        <w:rPr>
          <w:rFonts w:ascii="Times New Roman" w:hAnsi="Times New Roman" w:eastAsia="仿宋_GB2312" w:cs="Times New Roman"/>
          <w:kern w:val="0"/>
        </w:rPr>
      </w:pPr>
      <w:r>
        <w:rPr>
          <w:rFonts w:ascii="Times New Roman" w:hAnsi="Times New Roman" w:eastAsia="仿宋_GB2312" w:cs="Times New Roman"/>
          <w:kern w:val="0"/>
        </w:rPr>
        <w:t>2.课程主讲人职务为课程录制时的职务。</w:t>
      </w:r>
    </w:p>
    <w:p>
      <w:pPr>
        <w:rPr>
          <w:rFonts w:ascii="Times New Roman" w:hAnsi="Times New Roman" w:eastAsia="仿宋_GB2312" w:cs="Times New Roman"/>
          <w:kern w:val="0"/>
        </w:rPr>
        <w:sectPr>
          <w:pgSz w:w="11906" w:h="16838"/>
          <w:pgMar w:top="1559" w:right="1588" w:bottom="1559" w:left="1588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24EA6EF4"/>
    <w:rsid w:val="24EA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/>
      <w:b/>
      <w:kern w:val="44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31"/>
    <w:basedOn w:val="6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2024-03-29T01:21:00Z</dcterms:created>
  <dc:creator>Ù很diǎo</dc:creator>
  <cp:lastModifiedBy>Ù很diǎo</cp:lastModifiedBy>
  <dcterms:modified xsi:type="dcterms:W3CDTF">2024-03-29T01:22:24Z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ED8602014BA0455A8C4F105BDF5D0202_11</vt:lpwstr>
  </property>
</Properties>
</file>