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 w:ascii="方正小标宋简体" w:hAnsi="Times New Roman" w:eastAsia="方正小标宋简体" w:cs="Times New Roman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2023年高校教师创新创业教育教学能力提升专题网络培训班课程表</w:t>
      </w:r>
    </w:p>
    <w:tbl>
      <w:tblPr>
        <w:tblStyle w:val="3"/>
        <w:tblW w:w="94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607"/>
        <w:gridCol w:w="1114"/>
        <w:gridCol w:w="2942"/>
        <w:gridCol w:w="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000000" w:themeColor="text1"/>
                <w:sz w:val="24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 w:val="0"/>
                <w:i w:val="0"/>
                <w:iCs w:val="0"/>
                <w:color w:val="000000" w:themeColor="text1"/>
                <w:kern w:val="0"/>
                <w:sz w:val="24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课程模块</w:t>
            </w:r>
          </w:p>
        </w:tc>
        <w:tc>
          <w:tcPr>
            <w:tcW w:w="3607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sz w:val="24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1114" w:type="dxa"/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sz w:val="24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主讲人</w:t>
            </w:r>
          </w:p>
        </w:tc>
        <w:tc>
          <w:tcPr>
            <w:tcW w:w="2942" w:type="dxa"/>
            <w:shd w:val="clear" w:color="auto" w:fill="D7D7D7" w:themeFill="background1" w:themeFillShade="D8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sz w:val="24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单位职务</w:t>
            </w:r>
          </w:p>
        </w:tc>
        <w:tc>
          <w:tcPr>
            <w:tcW w:w="971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sz w:val="24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时长</w: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color w:val="000000" w:themeColor="text1"/>
                <w:kern w:val="0"/>
                <w:sz w:val="24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(分钟)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创新创业教育形势与任务</w:t>
            </w: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在高等教育普及化阶段促进高校毕业生更加充分更高质量就业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吴爱华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教育部学生司副司长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结构大变革时期中国就业的新现象、新规律、新趋势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丁守海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中国人民大学经济学院教授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把握“十四五”时期我国就业和劳动关系新变化和新机遇，实现更加充分更高质量就业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  健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中国劳动关系学院教授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高校毕业生就业形势分析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岳昌君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北京大学教授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高校最新创新创业教育政策形势分析及双创教育体系的顶层设计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王占仁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东北师范大学党委常委、副校长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创新创业基础理论与方法</w:t>
            </w: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弘扬创新创业精神  提升创新创业能力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  伟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西安电子科技大学空间科学与技术学院党委书记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高校创业教育理论及实践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  帆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中国青年政治学院副教授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当代大学生成才的路径与方法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刘俊彦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中国青少年研究中心常务副主任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创新方法设计</w:t>
            </w:r>
          </w:p>
        </w:tc>
        <w:tc>
          <w:tcPr>
            <w:tcW w:w="1114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欢</w:t>
            </w:r>
          </w:p>
        </w:tc>
        <w:tc>
          <w:tcPr>
            <w:tcW w:w="2942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中关村加一战略新兴产业人才发展中心研发部主任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创新环境营造——创新方法设计系列课程</w:t>
            </w: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创新方法之TRIZ法——创新方法设计系列课程</w:t>
            </w: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创新方法之快捷法——创新方法设计系列课程</w:t>
            </w:r>
          </w:p>
        </w:tc>
        <w:tc>
          <w:tcPr>
            <w:tcW w:w="111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42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创新创业教育课程体系建设</w:t>
            </w: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育人为本 引领教育 构建面向未来的创新创业教育体系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马德富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北京新产教科技有限公司董事长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创新创业教育五大教学要素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张国庆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中关村加一战略新兴产业人才发展中心理事长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创新创业教育与协同育人的实践探索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马连湘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青岛科技大学校长</w:t>
            </w:r>
          </w:p>
        </w:tc>
        <w:tc>
          <w:tcPr>
            <w:tcW w:w="97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从互联网+项目培育，谈创业通识课案例开发与实践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尹胜君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哈尔滨工业大学创新创业教育委员会秘书长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如何提升创新能力</w:t>
            </w:r>
          </w:p>
        </w:tc>
        <w:tc>
          <w:tcPr>
            <w:tcW w:w="11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蔡本睿</w:t>
            </w:r>
          </w:p>
        </w:tc>
        <w:tc>
          <w:tcPr>
            <w:tcW w:w="294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北京校企合作促进会常务副会长、研究员</w:t>
            </w:r>
          </w:p>
        </w:tc>
        <w:tc>
          <w:tcPr>
            <w:tcW w:w="97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Times New Roman" w:hAnsi="Times New Roman" w:eastAsia="仿宋_GB2312" w:cs="等线"/>
          <w:b w:val="0"/>
          <w:bCs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等线"/>
          <w:b w:val="0"/>
          <w:bCs/>
          <w:i w:val="0"/>
          <w:iCs w:val="0"/>
          <w:color w:val="000000" w:themeColor="text1"/>
          <w:kern w:val="0"/>
          <w:sz w:val="24"/>
          <w:szCs w:val="24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br w:type="page"/>
      </w:r>
    </w:p>
    <w:tbl>
      <w:tblPr>
        <w:tblStyle w:val="3"/>
        <w:tblW w:w="94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3607"/>
        <w:gridCol w:w="1114"/>
        <w:gridCol w:w="2942"/>
        <w:gridCol w:w="9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专创融合的设计与实现</w:t>
            </w: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专创融合的国际经验分析与方法借鉴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  静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英国创新创业教育者学会研究员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双创通识与专创融合的探索与实践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高继慧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哈尔滨工业大学教授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“四步四进”打造专创融合课程体系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张国庆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中关村加一战略新兴产业人才发展中心理事长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专创融合基地建设经验与实践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毛付俊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梯队科技（北京）有限公司总裁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创新创业实践教学与实训指导</w:t>
            </w: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高校创新创业教育模式与实践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陈霞玲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国家教育行政学院学校管理教研室副教授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高校创新创业教育“升级版”的探索与实践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施永川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温州大学创新创业学院院长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新工科背景下实践与实验教学体系构建理念与实践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裴世鑫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南京信息工程大学教授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创业之路——带你玩转商业模式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黄明睿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广东技术师范大学副教授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创业教育实战：如何做一家“互联网+”公司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毛付俊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梯队科技（北京）有限公司总裁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/>
                <w:bCs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“互联网+”大赛参赛指导经验</w:t>
            </w: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双创大赛参赛技能提升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蔡本睿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北京校企合作促进会常务副会长、研究员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双创比赛金奖项目打磨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邵  杰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浙江师范大学教授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七步打造创新创业大赛好项目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张国庆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中关村加一战略新兴产业人才发展中心理事长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“互联网＋”大学生创新创业大赛参赛指导经验分享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  畅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黑龙江八一农垦大学双创指导教师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中国国际“互联网”大学生创新创业大赛整体解读及优秀项目呈现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  衍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成都曦和海昇投资管理有限公司联合创始人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等线"/>
                <w:b w:val="0"/>
                <w:bCs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6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职教赛道项目成长历程——以利民本草项目为例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姜  辉</w:t>
            </w:r>
          </w:p>
        </w:tc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黑龙江农业经济职业学院食品药品工程学院院长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等线"/>
                <w:b w:val="0"/>
                <w:i w:val="0"/>
                <w:iCs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</w:tr>
    </w:tbl>
    <w:p>
      <w:pPr>
        <w:spacing w:before="156" w:beforeLines="50"/>
        <w:jc w:val="left"/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说明</w:t>
      </w:r>
      <w:r>
        <w:rPr>
          <w:rFonts w:ascii="Times New Roman" w:hAnsi="Times New Roman" w:eastAsia="仿宋_GB2312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仿宋_GB2312" w:cs="Times New Roman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1.</w:t>
      </w:r>
      <w:r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个别课程或稍有调整，请以平台最终发布课程为准；</w:t>
      </w:r>
    </w:p>
    <w:p>
      <w:pPr>
        <w:jc w:val="left"/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2.课程主讲人职务为课程录制时的职务。</w:t>
      </w:r>
    </w:p>
    <w:p>
      <w:pPr>
        <w:widowControl/>
        <w:jc w:val="left"/>
        <w:textAlignment w:val="center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3ADC7577"/>
    <w:rsid w:val="3ADC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2023-10-13T03:20:00Z</dcterms:created>
  <dc:creator>Ù很diǎo</dc:creator>
  <cp:lastModifiedBy>Ù很diǎo</cp:lastModifiedBy>
  <dcterms:modified xsi:type="dcterms:W3CDTF">2023-10-13T03:20:34Z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AA11914DB2CA44859447E70E5315DF51_11</vt:lpwstr>
  </property>
</Properties>
</file>