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pacing w:val="-6"/>
          <w:sz w:val="36"/>
          <w:szCs w:val="36"/>
        </w:rPr>
      </w:pPr>
      <w:bookmarkStart w:id="0" w:name="_GoBack"/>
      <w:r>
        <w:rPr>
          <w:rFonts w:hint="eastAsia" w:ascii="方正小标宋简体" w:hAnsi="方正小标宋简体" w:eastAsia="方正小标宋简体" w:cs="方正小标宋简体"/>
          <w:spacing w:val="-6"/>
          <w:sz w:val="36"/>
          <w:szCs w:val="36"/>
        </w:rPr>
        <w:t>福建省高校教学与科研管理干部网络研修课程列表</w:t>
      </w:r>
    </w:p>
    <w:bookmarkEnd w:id="0"/>
    <w:tbl>
      <w:tblPr>
        <w:tblStyle w:val="4"/>
        <w:tblW w:w="9888" w:type="dxa"/>
        <w:tblInd w:w="-6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4595"/>
        <w:gridCol w:w="968"/>
        <w:gridCol w:w="3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Align w:val="center"/>
          </w:tcPr>
          <w:p>
            <w:pPr>
              <w:widowControl/>
              <w:jc w:val="center"/>
              <w:textAlignment w:val="center"/>
              <w:rPr>
                <w:rFonts w:ascii="Times New Roman" w:hAnsi="Times New Roman" w:eastAsia="仿宋_GB2312" w:cs="宋体"/>
                <w:b/>
                <w:bCs/>
                <w:color w:val="000000"/>
                <w:kern w:val="0"/>
                <w:sz w:val="24"/>
                <w:lang w:bidi="ar"/>
              </w:rPr>
            </w:pPr>
            <w:r>
              <w:rPr>
                <w:rFonts w:hint="eastAsia" w:ascii="Times New Roman" w:hAnsi="Times New Roman" w:eastAsia="仿宋_GB2312" w:cs="宋体"/>
                <w:b/>
                <w:bCs/>
                <w:color w:val="000000"/>
                <w:kern w:val="0"/>
                <w:sz w:val="24"/>
                <w:lang w:bidi="ar"/>
              </w:rPr>
              <w:t>课程</w:t>
            </w:r>
          </w:p>
          <w:p>
            <w:pPr>
              <w:widowControl/>
              <w:jc w:val="center"/>
              <w:textAlignment w:val="center"/>
              <w:rPr>
                <w:rFonts w:ascii="Times New Roman" w:hAnsi="Times New Roman" w:eastAsia="仿宋_GB2312" w:cs="宋体"/>
                <w:b/>
                <w:bCs/>
                <w:color w:val="000000"/>
                <w:sz w:val="24"/>
              </w:rPr>
            </w:pPr>
            <w:r>
              <w:rPr>
                <w:rFonts w:hint="eastAsia" w:ascii="Times New Roman" w:hAnsi="Times New Roman" w:eastAsia="仿宋_GB2312" w:cs="宋体"/>
                <w:b/>
                <w:bCs/>
                <w:color w:val="000000"/>
                <w:kern w:val="0"/>
                <w:sz w:val="24"/>
                <w:lang w:bidi="ar"/>
              </w:rPr>
              <w:t>模块</w:t>
            </w:r>
          </w:p>
        </w:tc>
        <w:tc>
          <w:tcPr>
            <w:tcW w:w="4595" w:type="dxa"/>
            <w:vAlign w:val="center"/>
          </w:tcPr>
          <w:p>
            <w:pPr>
              <w:widowControl/>
              <w:jc w:val="center"/>
              <w:textAlignment w:val="center"/>
              <w:rPr>
                <w:rFonts w:ascii="Times New Roman" w:hAnsi="Times New Roman" w:eastAsia="仿宋_GB2312" w:cs="宋体"/>
                <w:b/>
                <w:bCs/>
                <w:color w:val="000000"/>
                <w:sz w:val="24"/>
              </w:rPr>
            </w:pPr>
            <w:r>
              <w:rPr>
                <w:rFonts w:hint="eastAsia" w:ascii="Times New Roman" w:hAnsi="Times New Roman" w:eastAsia="仿宋_GB2312" w:cs="宋体"/>
                <w:b/>
                <w:bCs/>
                <w:color w:val="000000"/>
                <w:kern w:val="0"/>
                <w:sz w:val="24"/>
                <w:lang w:bidi="ar"/>
              </w:rPr>
              <w:t>课程名称</w:t>
            </w:r>
          </w:p>
        </w:tc>
        <w:tc>
          <w:tcPr>
            <w:tcW w:w="968" w:type="dxa"/>
            <w:noWrap/>
            <w:vAlign w:val="center"/>
          </w:tcPr>
          <w:p>
            <w:pPr>
              <w:widowControl/>
              <w:jc w:val="center"/>
              <w:textAlignment w:val="center"/>
              <w:rPr>
                <w:rFonts w:ascii="Times New Roman" w:hAnsi="Times New Roman" w:eastAsia="仿宋_GB2312" w:cs="宋体"/>
                <w:b/>
                <w:bCs/>
                <w:color w:val="000000"/>
                <w:sz w:val="24"/>
              </w:rPr>
            </w:pPr>
            <w:r>
              <w:rPr>
                <w:rFonts w:hint="eastAsia" w:ascii="Times New Roman" w:hAnsi="Times New Roman" w:eastAsia="仿宋_GB2312" w:cs="宋体"/>
                <w:b/>
                <w:bCs/>
                <w:color w:val="000000"/>
                <w:kern w:val="0"/>
                <w:sz w:val="24"/>
                <w:lang w:bidi="ar"/>
              </w:rPr>
              <w:t>主讲人</w:t>
            </w:r>
          </w:p>
        </w:tc>
        <w:tc>
          <w:tcPr>
            <w:tcW w:w="3301" w:type="dxa"/>
            <w:noWrap/>
            <w:vAlign w:val="center"/>
          </w:tcPr>
          <w:p>
            <w:pPr>
              <w:widowControl/>
              <w:jc w:val="center"/>
              <w:textAlignment w:val="center"/>
              <w:rPr>
                <w:rFonts w:ascii="Times New Roman" w:hAnsi="Times New Roman" w:eastAsia="仿宋_GB2312" w:cs="宋体"/>
                <w:b/>
                <w:bCs/>
                <w:color w:val="000000"/>
                <w:sz w:val="24"/>
              </w:rPr>
            </w:pPr>
            <w:r>
              <w:rPr>
                <w:rFonts w:hint="eastAsia" w:ascii="Times New Roman" w:hAnsi="Times New Roman" w:eastAsia="仿宋_GB2312" w:cs="宋体"/>
                <w:b/>
                <w:bCs/>
                <w:color w:val="000000"/>
                <w:kern w:val="0"/>
                <w:sz w:val="24"/>
                <w:lang w:bidi="ar"/>
              </w:rPr>
              <w:t>单位职务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1024" w:type="dxa"/>
            <w:vMerge w:val="restart"/>
            <w:vAlign w:val="center"/>
          </w:tcPr>
          <w:p>
            <w:pPr>
              <w:widowControl/>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深入</w:t>
            </w:r>
          </w:p>
          <w:p>
            <w:pPr>
              <w:widowControl/>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学习</w:t>
            </w:r>
          </w:p>
          <w:p>
            <w:pPr>
              <w:widowControl/>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贯彻</w:t>
            </w:r>
          </w:p>
          <w:p>
            <w:pPr>
              <w:widowControl/>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党的</w:t>
            </w:r>
          </w:p>
          <w:p>
            <w:pPr>
              <w:widowControl/>
              <w:jc w:val="center"/>
              <w:textAlignment w:val="center"/>
              <w:rPr>
                <w:rFonts w:ascii="Times New Roman" w:hAnsi="Times New Roman" w:eastAsia="仿宋_GB2312" w:cs="仿宋_GB2312"/>
                <w:b/>
                <w:bCs/>
                <w:color w:val="000000"/>
                <w:sz w:val="24"/>
              </w:rPr>
            </w:pPr>
            <w:r>
              <w:rPr>
                <w:rFonts w:hint="eastAsia" w:ascii="Times New Roman" w:hAnsi="Times New Roman" w:eastAsia="仿宋_GB2312" w:cs="仿宋_GB2312"/>
                <w:b/>
                <w:bCs/>
                <w:color w:val="000000"/>
                <w:kern w:val="0"/>
                <w:sz w:val="24"/>
                <w:lang w:bidi="ar"/>
              </w:rPr>
              <w:t>二十大精神</w:t>
            </w: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深入学习贯彻党的二十大精神 深刻把握 “两个确立”坚决做到“两个维护”</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顾海良</w:t>
            </w:r>
          </w:p>
        </w:tc>
        <w:tc>
          <w:tcPr>
            <w:tcW w:w="3301" w:type="dxa"/>
            <w:vAlign w:val="center"/>
          </w:tcPr>
          <w:p>
            <w:pPr>
              <w:widowControl/>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北京大学马克思主义学院教授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深入学习贯彻党的二十大精神 实施科教</w:t>
            </w:r>
          </w:p>
          <w:p>
            <w:pPr>
              <w:widowControl/>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兴国战略强化现代化建设人才支撑</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张  力</w:t>
            </w:r>
          </w:p>
        </w:tc>
        <w:tc>
          <w:tcPr>
            <w:tcW w:w="3301" w:type="dxa"/>
            <w:vAlign w:val="center"/>
          </w:tcPr>
          <w:p>
            <w:pPr>
              <w:widowControl/>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国家教育咨询委员会秘书长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新时代新征程中国共产党的使命任务——以中国式现代化全面推进中华民族伟大</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复兴</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秦  强</w:t>
            </w:r>
          </w:p>
        </w:tc>
        <w:tc>
          <w:tcPr>
            <w:tcW w:w="3301"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中宣部全国宣传干部学院</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教研部副主任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新征程新境界——学习党的二十大精神</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王炳林</w:t>
            </w:r>
          </w:p>
        </w:tc>
        <w:tc>
          <w:tcPr>
            <w:tcW w:w="3301" w:type="dxa"/>
            <w:vAlign w:val="center"/>
          </w:tcPr>
          <w:p>
            <w:pPr>
              <w:widowControl/>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北京师范大学中共党史党建</w:t>
            </w:r>
          </w:p>
          <w:p>
            <w:pPr>
              <w:widowControl/>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研究院院长、教授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认真学习和领会党的二十大通过的《中国</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共产党章程（修正案）》</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陈凯龙</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中共中央党校（国家行政学院）党建部教授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1024" w:type="dxa"/>
            <w:vMerge w:val="restart"/>
            <w:vAlign w:val="center"/>
          </w:tcPr>
          <w:p>
            <w:pPr>
              <w:widowControl/>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学习</w:t>
            </w:r>
          </w:p>
          <w:p>
            <w:pPr>
              <w:widowControl/>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贯彻</w:t>
            </w:r>
          </w:p>
          <w:p>
            <w:pPr>
              <w:widowControl/>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习近平新时代中国</w:t>
            </w:r>
          </w:p>
          <w:p>
            <w:pPr>
              <w:widowControl/>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特色</w:t>
            </w:r>
          </w:p>
          <w:p>
            <w:pPr>
              <w:widowControl/>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社会</w:t>
            </w:r>
          </w:p>
          <w:p>
            <w:pPr>
              <w:widowControl/>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主义</w:t>
            </w:r>
          </w:p>
          <w:p>
            <w:pPr>
              <w:widowControl/>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思想</w:t>
            </w:r>
          </w:p>
          <w:p>
            <w:pPr>
              <w:widowControl/>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主题</w:t>
            </w:r>
          </w:p>
          <w:p>
            <w:pPr>
              <w:widowControl/>
              <w:jc w:val="center"/>
              <w:textAlignment w:val="center"/>
              <w:rPr>
                <w:rFonts w:ascii="Times New Roman" w:hAnsi="Times New Roman" w:eastAsia="仿宋_GB2312" w:cs="仿宋_GB2312"/>
                <w:b/>
                <w:bCs/>
                <w:color w:val="000000"/>
                <w:sz w:val="24"/>
              </w:rPr>
            </w:pPr>
            <w:r>
              <w:rPr>
                <w:rFonts w:hint="eastAsia" w:ascii="Times New Roman" w:hAnsi="Times New Roman" w:eastAsia="仿宋_GB2312" w:cs="仿宋_GB2312"/>
                <w:b/>
                <w:bCs/>
                <w:color w:val="000000"/>
                <w:kern w:val="0"/>
                <w:sz w:val="24"/>
                <w:lang w:bidi="ar"/>
              </w:rPr>
              <w:t>教育</w:t>
            </w: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 xml:space="preserve">扎实抓好主题教育 为奋进新征程凝心聚力——认真落实学习贯彻习近平新时代中国特色社会主义思想主题教育工作会议精神 </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邓纯东</w:t>
            </w:r>
          </w:p>
        </w:tc>
        <w:tc>
          <w:tcPr>
            <w:tcW w:w="3301"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中国社会科学院马克思主义</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研究院原党委书记、院长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全面学习领会习近平新时代中国特色社会主义思想的科学体系、精髓要义、实践要求，把理论学习、调查研究、推动发展、检视</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整改贯通起来，有机融合、一体推进</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周庆智</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中国社会科学院政治学研究所政治文化研究室主任、研究员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牢牢把握“学思想、强党性、重实践、</w:t>
            </w:r>
          </w:p>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建新功”的总要求，自觉用习近平新时代</w:t>
            </w:r>
          </w:p>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中国特色社会主义思想指导各项工作</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 xml:space="preserve">李军鹏 </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中共中央党校（国家行政学院）公共管理教研部教授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《习近平关于调查研究论述摘编》学习辅导</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李军鹏</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中共中央党校（国家行政学院）公共管理教研部教授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习近平新时代中国特色社会主义思想</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的世界观和方法论</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辛向阳</w:t>
            </w:r>
          </w:p>
        </w:tc>
        <w:tc>
          <w:tcPr>
            <w:tcW w:w="3301"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中国社会科学院马克思主义</w:t>
            </w:r>
          </w:p>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研究院党委书记、副院长，</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restart"/>
            <w:vAlign w:val="center"/>
          </w:tcPr>
          <w:p>
            <w:pPr>
              <w:widowControl/>
              <w:jc w:val="center"/>
              <w:textAlignment w:val="center"/>
              <w:rPr>
                <w:rFonts w:ascii="Times New Roman" w:hAnsi="Times New Roman" w:eastAsia="仿宋_GB2312" w:cs="仿宋_GB2312"/>
                <w:b/>
                <w:bCs/>
                <w:color w:val="000000"/>
                <w:sz w:val="24"/>
              </w:rPr>
            </w:pPr>
            <w:r>
              <w:rPr>
                <w:rFonts w:hint="eastAsia" w:ascii="Times New Roman" w:hAnsi="Times New Roman" w:eastAsia="仿宋_GB2312" w:cs="仿宋_GB2312"/>
                <w:b/>
                <w:bCs/>
                <w:color w:val="000000"/>
                <w:kern w:val="0"/>
                <w:sz w:val="24"/>
                <w:lang w:bidi="ar"/>
              </w:rPr>
              <w:t>高校 人才 培养 模式 改革 新发展</w:t>
            </w: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一流本科人才培养模式的创新与实践——以中国科学技术大学的六十年实践为例</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曾长淦</w:t>
            </w:r>
          </w:p>
        </w:tc>
        <w:tc>
          <w:tcPr>
            <w:tcW w:w="3301"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中国科学技术大学物理学院</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“双一流”建设与人才培养质量评价</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马陆亭</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中国教育科学研究院副院长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大力激发人才创新创造活力，把人才优势</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转化为高质量发展动力</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李建忠</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中国人事科学研究所副院长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数字时代高校创新人才培养——华中师范大学的探索与实践</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夏立新</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华中师范大学党委书记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航天一流人才培养模式探索与实践——</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以航空航天工程国家一流本科专业为例</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 xml:space="preserve">盛庆红 </w:t>
            </w:r>
          </w:p>
        </w:tc>
        <w:tc>
          <w:tcPr>
            <w:tcW w:w="3301"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南京航空航天大学航天学院</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restart"/>
            <w:vAlign w:val="center"/>
          </w:tcPr>
          <w:p>
            <w:pPr>
              <w:widowControl/>
              <w:jc w:val="center"/>
              <w:textAlignment w:val="center"/>
              <w:rPr>
                <w:rFonts w:ascii="Times New Roman" w:hAnsi="Times New Roman" w:eastAsia="仿宋_GB2312" w:cs="仿宋_GB2312"/>
                <w:b/>
                <w:bCs/>
                <w:color w:val="000000"/>
                <w:sz w:val="24"/>
              </w:rPr>
            </w:pPr>
            <w:r>
              <w:rPr>
                <w:rFonts w:hint="eastAsia" w:ascii="Times New Roman" w:hAnsi="Times New Roman" w:eastAsia="仿宋_GB2312" w:cs="仿宋_GB2312"/>
                <w:b/>
                <w:bCs/>
                <w:color w:val="000000"/>
                <w:kern w:val="0"/>
                <w:sz w:val="24"/>
                <w:lang w:bidi="ar"/>
              </w:rPr>
              <w:t>学科 建设 理论 创新与实践 发展</w:t>
            </w: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一流学科建设的思考——以华中师范大学为例</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查道林</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华中师范大学党委副书记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以高水平规划引领学科发展——对大学</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学科建设规划的一点思考</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贺  飞</w:t>
            </w:r>
          </w:p>
        </w:tc>
        <w:tc>
          <w:tcPr>
            <w:tcW w:w="3301"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北京大学学科建设办公室</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交叉融合型一流学科建设探索与实践——以中国矿业大学为例</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秦波涛</w:t>
            </w:r>
          </w:p>
        </w:tc>
        <w:tc>
          <w:tcPr>
            <w:tcW w:w="3301"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中国矿业大学学科建设处、</w:t>
            </w:r>
          </w:p>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校学术委员会秘书处办公室</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以一流党建引领一流学科发展</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蔡真亮</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宁波大学海洋学院原党委书记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倡导教学中心的科研导向与研究驱动的  深度教学——基于中央财经大学思政课教学科研改革的实践</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冯秀军</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中央财经大学马克思主义学院教授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restart"/>
            <w:vAlign w:val="center"/>
          </w:tcPr>
          <w:p>
            <w:pPr>
              <w:widowControl/>
              <w:jc w:val="center"/>
              <w:textAlignment w:val="center"/>
              <w:rPr>
                <w:rFonts w:ascii="Times New Roman" w:hAnsi="Times New Roman" w:eastAsia="仿宋_GB2312" w:cs="仿宋_GB2312"/>
                <w:b/>
                <w:bCs/>
                <w:color w:val="000000"/>
                <w:sz w:val="24"/>
              </w:rPr>
            </w:pPr>
            <w:r>
              <w:rPr>
                <w:rFonts w:hint="eastAsia" w:ascii="Times New Roman" w:hAnsi="Times New Roman" w:eastAsia="仿宋_GB2312" w:cs="仿宋_GB2312"/>
                <w:b/>
                <w:bCs/>
                <w:color w:val="000000"/>
                <w:kern w:val="0"/>
                <w:sz w:val="24"/>
                <w:lang w:bidi="ar"/>
              </w:rPr>
              <w:t>专业 建设 新动态</w:t>
            </w: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应用型本科高校专业质量评价体系和标准的研究与实践</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陈  啸</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海口经济学院校长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地方财经类高校专业建设的思考与实践</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余怒涛</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云南财经大学副校长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一流学院治理与一流专业建设</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巫世晶</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武汉大学发展规划与学科建设办公室主任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基于RICH理念的国家一流师范类专业建设与培养模式创新实践</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胡美馨</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浙江师范大学外国语学院院长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科研反哺教学在一流专业建设中的探索与实践——以《环境工程》专业认证为例</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鲁金凤</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南开大学环境科学与工程学院教授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024" w:type="dxa"/>
            <w:vMerge w:val="restart"/>
            <w:vAlign w:val="center"/>
          </w:tcPr>
          <w:p>
            <w:pPr>
              <w:widowControl/>
              <w:jc w:val="center"/>
              <w:textAlignment w:val="center"/>
              <w:rPr>
                <w:rFonts w:ascii="Times New Roman" w:hAnsi="Times New Roman" w:eastAsia="仿宋_GB2312" w:cs="仿宋_GB2312"/>
                <w:b/>
                <w:bCs/>
                <w:color w:val="000000"/>
                <w:sz w:val="24"/>
              </w:rPr>
            </w:pPr>
            <w:r>
              <w:rPr>
                <w:rFonts w:hint="eastAsia" w:ascii="Times New Roman" w:hAnsi="Times New Roman" w:eastAsia="仿宋_GB2312" w:cs="仿宋_GB2312"/>
                <w:b/>
                <w:bCs/>
                <w:color w:val="000000"/>
                <w:kern w:val="0"/>
                <w:sz w:val="24"/>
                <w:lang w:bidi="ar"/>
              </w:rPr>
              <w:t>课程 建设 新探索</w:t>
            </w: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OBE理念在课程与教学中的落地应用</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孙建荣</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澳门科技大学国际学院教授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“四新”背景下一流本科课程的创新与实践</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张俊斌</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西安交通大学教务处副处长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一流课程建设模式创新与技术革命</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李凤霞</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北京理工大学计算机学院教授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一流课程评审指标解读</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马昱春</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清华大学计算机科学与技术系教授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024" w:type="dxa"/>
            <w:vMerge w:val="restart"/>
            <w:vAlign w:val="center"/>
          </w:tcPr>
          <w:p>
            <w:pPr>
              <w:widowControl/>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教育 教学 审核 评估</w:t>
            </w: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宋体"/>
                <w:color w:val="000000"/>
                <w:kern w:val="0"/>
                <w:sz w:val="24"/>
                <w:lang w:bidi="ar"/>
              </w:rPr>
              <w:t>审核评估发展历程与新一轮评估注意要点</w:t>
            </w:r>
          </w:p>
        </w:tc>
        <w:tc>
          <w:tcPr>
            <w:tcW w:w="968" w:type="dxa"/>
            <w:noWrap/>
            <w:vAlign w:val="center"/>
          </w:tcPr>
          <w:p>
            <w:pPr>
              <w:widowControl/>
              <w:jc w:val="center"/>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宋体"/>
                <w:color w:val="000000"/>
                <w:kern w:val="0"/>
                <w:sz w:val="24"/>
                <w:lang w:bidi="ar"/>
              </w:rPr>
              <w:t>陆根书</w:t>
            </w:r>
          </w:p>
        </w:tc>
        <w:tc>
          <w:tcPr>
            <w:tcW w:w="3301"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宋体"/>
                <w:color w:val="000000"/>
                <w:kern w:val="0"/>
                <w:sz w:val="24"/>
                <w:lang w:bidi="ar"/>
              </w:rPr>
              <w:t>西安交通大学教授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kern w:val="0"/>
                <w:sz w:val="24"/>
                <w:lang w:bidi="ar"/>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宋体"/>
                <w:color w:val="000000"/>
                <w:kern w:val="0"/>
                <w:sz w:val="24"/>
                <w:lang w:bidi="ar"/>
              </w:rPr>
              <w:t>借力教学评估，提升教育质量</w:t>
            </w:r>
          </w:p>
        </w:tc>
        <w:tc>
          <w:tcPr>
            <w:tcW w:w="968" w:type="dxa"/>
            <w:noWrap/>
            <w:vAlign w:val="center"/>
          </w:tcPr>
          <w:p>
            <w:pPr>
              <w:widowControl/>
              <w:jc w:val="center"/>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宋体"/>
                <w:color w:val="000000"/>
                <w:kern w:val="0"/>
                <w:sz w:val="24"/>
                <w:lang w:bidi="ar"/>
              </w:rPr>
              <w:t>周叶中</w:t>
            </w:r>
          </w:p>
        </w:tc>
        <w:tc>
          <w:tcPr>
            <w:tcW w:w="3301"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宋体"/>
                <w:color w:val="000000"/>
                <w:kern w:val="0"/>
                <w:sz w:val="24"/>
                <w:lang w:bidi="ar"/>
              </w:rPr>
              <w:t>武汉大学党委常委、副校长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kern w:val="0"/>
                <w:sz w:val="24"/>
                <w:lang w:bidi="ar"/>
              </w:rPr>
            </w:pPr>
          </w:p>
        </w:tc>
        <w:tc>
          <w:tcPr>
            <w:tcW w:w="4595" w:type="dxa"/>
            <w:vAlign w:val="center"/>
          </w:tcPr>
          <w:p>
            <w:pPr>
              <w:widowControl/>
              <w:jc w:val="left"/>
              <w:textAlignment w:val="center"/>
              <w:rPr>
                <w:rFonts w:ascii="Times New Roman" w:hAnsi="Times New Roman" w:eastAsia="仿宋_GB2312" w:cs="宋体"/>
                <w:color w:val="000000"/>
                <w:kern w:val="0"/>
                <w:sz w:val="24"/>
                <w:lang w:bidi="ar"/>
              </w:rPr>
            </w:pPr>
            <w:r>
              <w:rPr>
                <w:rFonts w:hint="eastAsia" w:ascii="Times New Roman" w:hAnsi="Times New Roman" w:eastAsia="仿宋_GB2312" w:cs="宋体"/>
                <w:color w:val="000000"/>
                <w:kern w:val="0"/>
                <w:sz w:val="24"/>
                <w:lang w:bidi="ar"/>
              </w:rPr>
              <w:t>抓好本科审核评估工作，促进高等教育</w:t>
            </w:r>
          </w:p>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宋体"/>
                <w:color w:val="000000"/>
                <w:kern w:val="0"/>
                <w:sz w:val="24"/>
                <w:lang w:bidi="ar"/>
              </w:rPr>
              <w:t>内涵式发展</w:t>
            </w:r>
          </w:p>
        </w:tc>
        <w:tc>
          <w:tcPr>
            <w:tcW w:w="968" w:type="dxa"/>
            <w:noWrap/>
            <w:vAlign w:val="center"/>
          </w:tcPr>
          <w:p>
            <w:pPr>
              <w:widowControl/>
              <w:jc w:val="center"/>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宋体"/>
                <w:color w:val="000000"/>
                <w:kern w:val="0"/>
                <w:sz w:val="24"/>
                <w:lang w:bidi="ar"/>
              </w:rPr>
              <w:t>刘振天</w:t>
            </w:r>
          </w:p>
        </w:tc>
        <w:tc>
          <w:tcPr>
            <w:tcW w:w="3301"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宋体"/>
                <w:color w:val="000000"/>
                <w:kern w:val="0"/>
                <w:sz w:val="24"/>
                <w:lang w:bidi="ar"/>
              </w:rPr>
              <w:t>教育部高等教育教学评估中心院校教学评估处处长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24" w:type="dxa"/>
            <w:vMerge w:val="continue"/>
            <w:vAlign w:val="center"/>
          </w:tcPr>
          <w:p>
            <w:pPr>
              <w:jc w:val="center"/>
              <w:rPr>
                <w:rFonts w:ascii="Times New Roman" w:hAnsi="Times New Roman" w:eastAsia="仿宋_GB2312" w:cs="仿宋_GB2312"/>
                <w:b/>
                <w:bCs/>
                <w:color w:val="000000"/>
                <w:kern w:val="0"/>
                <w:sz w:val="24"/>
                <w:lang w:bidi="ar"/>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宋体"/>
                <w:color w:val="000000"/>
                <w:kern w:val="0"/>
                <w:sz w:val="24"/>
                <w:lang w:bidi="ar"/>
              </w:rPr>
              <w:t>OBE理念下的专业评估与改进</w:t>
            </w:r>
          </w:p>
        </w:tc>
        <w:tc>
          <w:tcPr>
            <w:tcW w:w="968" w:type="dxa"/>
            <w:noWrap/>
            <w:vAlign w:val="center"/>
          </w:tcPr>
          <w:p>
            <w:pPr>
              <w:widowControl/>
              <w:jc w:val="center"/>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宋体"/>
                <w:color w:val="000000"/>
                <w:kern w:val="0"/>
                <w:sz w:val="24"/>
                <w:lang w:bidi="ar"/>
              </w:rPr>
              <w:t>郭江峰</w:t>
            </w:r>
          </w:p>
        </w:tc>
        <w:tc>
          <w:tcPr>
            <w:tcW w:w="3301"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宋体"/>
                <w:color w:val="000000"/>
                <w:kern w:val="0"/>
                <w:sz w:val="24"/>
                <w:lang w:bidi="ar"/>
              </w:rPr>
              <w:t>浙江理工大学教授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kern w:val="0"/>
                <w:sz w:val="24"/>
                <w:lang w:bidi="ar"/>
              </w:rPr>
            </w:pPr>
          </w:p>
        </w:tc>
        <w:tc>
          <w:tcPr>
            <w:tcW w:w="4595" w:type="dxa"/>
            <w:vAlign w:val="center"/>
          </w:tcPr>
          <w:p>
            <w:pPr>
              <w:widowControl/>
              <w:jc w:val="left"/>
              <w:textAlignment w:val="center"/>
              <w:rPr>
                <w:rFonts w:ascii="Times New Roman" w:hAnsi="Times New Roman" w:eastAsia="仿宋_GB2312" w:cs="宋体"/>
                <w:color w:val="000000"/>
                <w:kern w:val="0"/>
                <w:sz w:val="24"/>
                <w:lang w:bidi="ar"/>
              </w:rPr>
            </w:pPr>
            <w:r>
              <w:rPr>
                <w:rFonts w:hint="eastAsia" w:ascii="Times New Roman" w:hAnsi="Times New Roman" w:eastAsia="仿宋_GB2312" w:cs="宋体"/>
                <w:color w:val="000000"/>
                <w:kern w:val="0"/>
                <w:sz w:val="24"/>
                <w:lang w:bidi="ar"/>
              </w:rPr>
              <w:t>把握新一轮审核评估分类方案要点做好</w:t>
            </w:r>
          </w:p>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宋体"/>
                <w:color w:val="000000"/>
                <w:kern w:val="0"/>
                <w:sz w:val="24"/>
                <w:lang w:bidi="ar"/>
              </w:rPr>
              <w:t>学校评建工作</w:t>
            </w:r>
          </w:p>
        </w:tc>
        <w:tc>
          <w:tcPr>
            <w:tcW w:w="968" w:type="dxa"/>
            <w:noWrap/>
            <w:vAlign w:val="center"/>
          </w:tcPr>
          <w:p>
            <w:pPr>
              <w:widowControl/>
              <w:jc w:val="center"/>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宋体"/>
                <w:color w:val="000000"/>
                <w:kern w:val="0"/>
                <w:sz w:val="24"/>
                <w:lang w:bidi="ar"/>
              </w:rPr>
              <w:t>傅  勇</w:t>
            </w:r>
          </w:p>
        </w:tc>
        <w:tc>
          <w:tcPr>
            <w:tcW w:w="3301" w:type="dxa"/>
            <w:vAlign w:val="center"/>
          </w:tcPr>
          <w:p>
            <w:pPr>
              <w:widowControl/>
              <w:jc w:val="left"/>
              <w:textAlignment w:val="center"/>
              <w:rPr>
                <w:rFonts w:ascii="Times New Roman" w:hAnsi="Times New Roman" w:eastAsia="仿宋_GB2312" w:cs="宋体"/>
                <w:color w:val="000000"/>
                <w:kern w:val="0"/>
                <w:sz w:val="24"/>
                <w:lang w:bidi="ar"/>
              </w:rPr>
            </w:pPr>
            <w:r>
              <w:rPr>
                <w:rFonts w:hint="eastAsia" w:ascii="Times New Roman" w:hAnsi="Times New Roman" w:eastAsia="仿宋_GB2312" w:cs="宋体"/>
                <w:color w:val="000000"/>
                <w:kern w:val="0"/>
                <w:sz w:val="24"/>
                <w:lang w:bidi="ar"/>
              </w:rPr>
              <w:t>安徽大学教学质量监控与</w:t>
            </w:r>
          </w:p>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宋体"/>
                <w:color w:val="000000"/>
                <w:kern w:val="0"/>
                <w:sz w:val="24"/>
                <w:lang w:bidi="ar"/>
              </w:rPr>
              <w:t>评价处处长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kern w:val="0"/>
                <w:sz w:val="24"/>
                <w:lang w:bidi="ar"/>
              </w:rPr>
            </w:pPr>
          </w:p>
        </w:tc>
        <w:tc>
          <w:tcPr>
            <w:tcW w:w="4595" w:type="dxa"/>
            <w:vAlign w:val="center"/>
          </w:tcPr>
          <w:p>
            <w:pPr>
              <w:widowControl/>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新时代高职院校督导评估的内涵特征及</w:t>
            </w:r>
          </w:p>
          <w:p>
            <w:pPr>
              <w:widowControl/>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体系构建</w:t>
            </w:r>
          </w:p>
        </w:tc>
        <w:tc>
          <w:tcPr>
            <w:tcW w:w="968" w:type="dxa"/>
            <w:noWrap/>
            <w:vAlign w:val="center"/>
          </w:tcPr>
          <w:p>
            <w:pPr>
              <w:widowControl/>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吴向明</w:t>
            </w:r>
          </w:p>
        </w:tc>
        <w:tc>
          <w:tcPr>
            <w:tcW w:w="3301" w:type="dxa"/>
            <w:vAlign w:val="center"/>
          </w:tcPr>
          <w:p>
            <w:pPr>
              <w:widowControl/>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职业技术教育学院院长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restart"/>
            <w:vAlign w:val="center"/>
          </w:tcPr>
          <w:p>
            <w:pPr>
              <w:widowControl/>
              <w:jc w:val="center"/>
              <w:textAlignment w:val="center"/>
              <w:rPr>
                <w:rFonts w:ascii="Times New Roman" w:hAnsi="Times New Roman" w:eastAsia="仿宋_GB2312" w:cs="仿宋_GB2312"/>
                <w:b/>
                <w:bCs/>
                <w:color w:val="000000"/>
                <w:sz w:val="24"/>
              </w:rPr>
            </w:pPr>
            <w:r>
              <w:rPr>
                <w:rFonts w:hint="eastAsia" w:ascii="Times New Roman" w:hAnsi="Times New Roman" w:eastAsia="仿宋_GB2312" w:cs="仿宋_GB2312"/>
                <w:b/>
                <w:bCs/>
                <w:color w:val="000000"/>
                <w:kern w:val="0"/>
                <w:sz w:val="24"/>
                <w:lang w:bidi="ar"/>
              </w:rPr>
              <w:t>教师 队伍 建设 新经验</w:t>
            </w: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改革教师评价 建设高素质专业化创新型</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教师队伍</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任友群</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教育部教师工作司司长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以教学反思促进教师专业发展</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 xml:space="preserve">胡淑均 </w:t>
            </w:r>
          </w:p>
        </w:tc>
        <w:tc>
          <w:tcPr>
            <w:tcW w:w="3301"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北京教育学院信息科技与</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劳动教育学院副院长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教学有专长 没有论文也可评教授 ——</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南京林业大学职称评审改革探索与实践</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闵永军</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南京林业大学汽车与交通工程学院教授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青年教师的科研踩坑之路与经验分享</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李艳梅</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清华大学化学系教授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restart"/>
            <w:vAlign w:val="center"/>
          </w:tcPr>
          <w:p>
            <w:pPr>
              <w:widowControl/>
              <w:jc w:val="center"/>
              <w:textAlignment w:val="center"/>
              <w:rPr>
                <w:rFonts w:ascii="Times New Roman" w:hAnsi="Times New Roman" w:eastAsia="仿宋_GB2312" w:cs="仿宋_GB2312"/>
                <w:b/>
                <w:bCs/>
                <w:color w:val="000000"/>
                <w:sz w:val="24"/>
              </w:rPr>
            </w:pPr>
            <w:r>
              <w:rPr>
                <w:rFonts w:hint="eastAsia" w:ascii="Times New Roman" w:hAnsi="Times New Roman" w:eastAsia="仿宋_GB2312" w:cs="仿宋_GB2312"/>
                <w:b/>
                <w:bCs/>
                <w:color w:val="000000"/>
                <w:kern w:val="0"/>
                <w:sz w:val="24"/>
                <w:lang w:bidi="ar"/>
              </w:rPr>
              <w:t>新时代学术 研究与评价 体系 建设</w:t>
            </w: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高校学术治理的法治框架：《高等学校学术委员会规程》解读</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王大泉</w:t>
            </w:r>
          </w:p>
        </w:tc>
        <w:tc>
          <w:tcPr>
            <w:tcW w:w="3301" w:type="dxa"/>
            <w:vAlign w:val="center"/>
          </w:tcPr>
          <w:p>
            <w:pPr>
              <w:widowControl/>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教育部政策法规司副司长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noWrap/>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正确认识教学学术的内涵与本质</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熊庆年</w:t>
            </w:r>
          </w:p>
        </w:tc>
        <w:tc>
          <w:tcPr>
            <w:tcW w:w="3301"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复旦大学高等教育研究所</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原所长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当前我国科研领域的形势任务与政策措施</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万劲波</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中国科学院科技战略咨询   研究院研究员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破解高校科研与教学矛盾的学术之道</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桑新民</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南京大学教授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科研诚信与学术规范管理</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易  平</w:t>
            </w:r>
          </w:p>
        </w:tc>
        <w:tc>
          <w:tcPr>
            <w:tcW w:w="3301"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浙江大学医学院科研办公室</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024" w:type="dxa"/>
            <w:vMerge w:val="restart"/>
            <w:vAlign w:val="center"/>
          </w:tcPr>
          <w:p>
            <w:pPr>
              <w:widowControl/>
              <w:jc w:val="center"/>
              <w:textAlignment w:val="center"/>
              <w:rPr>
                <w:rFonts w:ascii="Times New Roman" w:hAnsi="Times New Roman" w:eastAsia="仿宋_GB2312" w:cs="仿宋_GB2312"/>
                <w:b/>
                <w:bCs/>
                <w:color w:val="000000"/>
                <w:sz w:val="24"/>
              </w:rPr>
            </w:pPr>
            <w:r>
              <w:rPr>
                <w:rFonts w:hint="eastAsia" w:ascii="Times New Roman" w:hAnsi="Times New Roman" w:eastAsia="仿宋_GB2312" w:cs="仿宋_GB2312"/>
                <w:b/>
                <w:bCs/>
                <w:color w:val="000000"/>
                <w:kern w:val="0"/>
                <w:sz w:val="24"/>
                <w:lang w:bidi="ar"/>
              </w:rPr>
              <w:t>高校 科研 成果的考核 评价 体系</w:t>
            </w: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科研成果总结和论文投稿注意事项</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李艳梅</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清华大学化学系教授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科研成果形成与凝练的心得与经验</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沈火明</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西南交通大学教授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如何用科研成果反哺与促进教学</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李凤霞</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北京理工大学计算机学院教授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restart"/>
            <w:vAlign w:val="center"/>
          </w:tcPr>
          <w:p>
            <w:pPr>
              <w:widowControl/>
              <w:jc w:val="center"/>
              <w:textAlignment w:val="center"/>
              <w:rPr>
                <w:rFonts w:ascii="Times New Roman" w:hAnsi="Times New Roman" w:eastAsia="仿宋_GB2312" w:cs="仿宋_GB2312"/>
                <w:b/>
                <w:bCs/>
                <w:color w:val="000000"/>
                <w:sz w:val="24"/>
              </w:rPr>
            </w:pPr>
            <w:r>
              <w:rPr>
                <w:rFonts w:hint="eastAsia" w:ascii="Times New Roman" w:hAnsi="Times New Roman" w:eastAsia="仿宋_GB2312" w:cs="仿宋_GB2312"/>
                <w:b/>
                <w:bCs/>
                <w:color w:val="000000"/>
                <w:kern w:val="0"/>
                <w:sz w:val="24"/>
                <w:lang w:bidi="ar"/>
              </w:rPr>
              <w:t>高校 学术 组织与学术 团队 建设</w:t>
            </w: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高校学术治理的法治框架：《高等学校预防与处理学术不端行为办法》解读</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王大泉</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教育部政策法规司副司长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高等学校预防与处理学术不端行为办法</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王敬波</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对外经济贸易大学党委常委、副校长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高校学术不端行为的调查与处理：结合案例的讨论</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张 冉</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北京大学教育学院副教授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024" w:type="dxa"/>
            <w:vMerge w:val="restart"/>
            <w:vAlign w:val="center"/>
          </w:tcPr>
          <w:p>
            <w:pPr>
              <w:widowControl/>
              <w:jc w:val="center"/>
              <w:textAlignment w:val="center"/>
              <w:rPr>
                <w:rFonts w:ascii="Times New Roman" w:hAnsi="Times New Roman" w:eastAsia="仿宋_GB2312" w:cs="仿宋_GB2312"/>
                <w:b/>
                <w:bCs/>
                <w:color w:val="000000"/>
                <w:sz w:val="24"/>
              </w:rPr>
            </w:pPr>
            <w:r>
              <w:rPr>
                <w:rFonts w:hint="eastAsia" w:ascii="Times New Roman" w:hAnsi="Times New Roman" w:eastAsia="仿宋_GB2312" w:cs="仿宋_GB2312"/>
                <w:b/>
                <w:bCs/>
                <w:color w:val="000000"/>
                <w:kern w:val="0"/>
                <w:sz w:val="24"/>
                <w:lang w:bidi="ar"/>
              </w:rPr>
              <w:t>高校 科研 资源的开发与配置</w:t>
            </w: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如何做好高校的科研工作</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屈凌波</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郑州大学副校长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优化科研组织 化地域劣势为资源优势</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张浩力</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兰州大学研究生院执行院长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行业特色院校有组织科研探索与实践</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赵毅鑫</w:t>
            </w:r>
          </w:p>
        </w:tc>
        <w:tc>
          <w:tcPr>
            <w:tcW w:w="3301"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中国矿业大学（北京）科学</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技术研究院院长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以教科研引领学校高质量发展</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房  宏</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常州市教师发展学院院长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科研论文的撰写与创新</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褚福磊</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清华大学机械工程学院教授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024" w:type="dxa"/>
            <w:vMerge w:val="restart"/>
            <w:vAlign w:val="center"/>
          </w:tcPr>
          <w:p>
            <w:pPr>
              <w:widowControl/>
              <w:jc w:val="center"/>
              <w:textAlignment w:val="center"/>
              <w:rPr>
                <w:rFonts w:ascii="Times New Roman" w:hAnsi="Times New Roman" w:eastAsia="仿宋_GB2312" w:cs="仿宋_GB2312"/>
                <w:b/>
                <w:bCs/>
                <w:color w:val="000000"/>
                <w:sz w:val="24"/>
              </w:rPr>
            </w:pPr>
            <w:r>
              <w:rPr>
                <w:rFonts w:hint="eastAsia" w:ascii="Times New Roman" w:hAnsi="Times New Roman" w:eastAsia="仿宋_GB2312" w:cs="仿宋_GB2312"/>
                <w:b/>
                <w:bCs/>
                <w:color w:val="000000"/>
                <w:kern w:val="0"/>
                <w:sz w:val="24"/>
                <w:lang w:bidi="ar"/>
              </w:rPr>
              <w:t>高校 科技 成果的转化与应用</w:t>
            </w: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社会科学基金申报书案例分析与问题诊断</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谢建社</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广州大学教授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科研反哺教学的实践经历与经验体会</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李丹青</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浙江大学教授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科研反哺教学在一流课程建设中的应用</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探索</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赵  宏</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南开大学计算机学院教授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科技成果评价方法及典型案例</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张士运</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北京科学学研究中心主任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24" w:type="dxa"/>
            <w:vMerge w:val="restart"/>
            <w:vAlign w:val="center"/>
          </w:tcPr>
          <w:p>
            <w:pPr>
              <w:widowControl/>
              <w:jc w:val="center"/>
              <w:textAlignment w:val="center"/>
              <w:rPr>
                <w:rFonts w:ascii="Times New Roman" w:hAnsi="Times New Roman" w:eastAsia="仿宋_GB2312" w:cs="仿宋_GB2312"/>
                <w:b/>
                <w:bCs/>
                <w:color w:val="000000"/>
                <w:sz w:val="24"/>
              </w:rPr>
            </w:pPr>
            <w:r>
              <w:rPr>
                <w:rFonts w:hint="eastAsia" w:ascii="Times New Roman" w:hAnsi="Times New Roman" w:eastAsia="仿宋_GB2312" w:cs="仿宋_GB2312"/>
                <w:b/>
                <w:bCs/>
                <w:color w:val="000000"/>
                <w:kern w:val="0"/>
                <w:sz w:val="24"/>
                <w:lang w:bidi="ar"/>
              </w:rPr>
              <w:t>教学 质量 保障 体系</w:t>
            </w: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如何构建多元化教学评价体系</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周屈兰</w:t>
            </w:r>
          </w:p>
        </w:tc>
        <w:tc>
          <w:tcPr>
            <w:tcW w:w="3301" w:type="dxa"/>
            <w:noWrap/>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西安交通大学教授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新时代高校教学评估与院校教学督导的</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研究与实践</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李  芳</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对外经济贸易大学副研究员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高等教育质量保障体系建设要点与评估</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认证新趋势</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刘振天</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厦门大学教育研究院特聘教授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新时代高校内部质量保障体系建设——</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同济特色质量保证体系的探索与创新</w:t>
            </w:r>
          </w:p>
        </w:tc>
        <w:tc>
          <w:tcPr>
            <w:tcW w:w="968" w:type="dxa"/>
            <w:noWrap/>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李亚东</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五邑大学特聘教授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024" w:type="dxa"/>
            <w:vMerge w:val="restart"/>
            <w:vAlign w:val="center"/>
          </w:tcPr>
          <w:p>
            <w:pPr>
              <w:widowControl/>
              <w:jc w:val="center"/>
              <w:textAlignment w:val="center"/>
              <w:rPr>
                <w:rFonts w:ascii="Times New Roman" w:hAnsi="Times New Roman" w:eastAsia="仿宋_GB2312" w:cs="仿宋_GB2312"/>
                <w:b/>
                <w:bCs/>
                <w:color w:val="000000"/>
                <w:sz w:val="24"/>
              </w:rPr>
            </w:pPr>
            <w:r>
              <w:rPr>
                <w:rFonts w:hint="eastAsia" w:ascii="Times New Roman" w:hAnsi="Times New Roman" w:eastAsia="仿宋_GB2312" w:cs="仿宋_GB2312"/>
                <w:b/>
                <w:bCs/>
                <w:color w:val="000000"/>
                <w:kern w:val="0"/>
                <w:sz w:val="24"/>
                <w:lang w:bidi="ar"/>
              </w:rPr>
              <w:t>教育 评价 改革</w:t>
            </w: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推进新时代教育评价改革 开启中国教育</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现代化新征程</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刘自成</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教育部综合改革司司长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仿宋_GB2312" w:hAnsi="等线" w:eastAsia="仿宋_GB2312" w:cs="仿宋_GB2312"/>
                <w:color w:val="000000"/>
                <w:kern w:val="0"/>
                <w:sz w:val="24"/>
                <w:lang w:bidi="ar"/>
              </w:rPr>
            </w:pPr>
            <w:r>
              <w:rPr>
                <w:rFonts w:hint="eastAsia" w:ascii="仿宋_GB2312" w:hAnsi="等线" w:eastAsia="仿宋_GB2312" w:cs="仿宋_GB2312"/>
                <w:color w:val="000000"/>
                <w:kern w:val="0"/>
                <w:sz w:val="24"/>
                <w:lang w:bidi="ar"/>
              </w:rPr>
              <w:t>深化教育评价改革——破除“唯论文”</w:t>
            </w:r>
          </w:p>
          <w:p>
            <w:pPr>
              <w:widowControl/>
              <w:jc w:val="left"/>
              <w:textAlignment w:val="center"/>
              <w:rPr>
                <w:rFonts w:ascii="Times New Roman" w:hAnsi="Times New Roman" w:eastAsia="仿宋_GB2312" w:cs="仿宋_GB2312"/>
                <w:color w:val="000000"/>
                <w:sz w:val="24"/>
              </w:rPr>
            </w:pPr>
            <w:r>
              <w:rPr>
                <w:rFonts w:hint="eastAsia" w:ascii="仿宋_GB2312" w:hAnsi="等线" w:eastAsia="仿宋_GB2312" w:cs="仿宋_GB2312"/>
                <w:color w:val="000000"/>
                <w:kern w:val="0"/>
                <w:sz w:val="24"/>
                <w:lang w:bidi="ar"/>
              </w:rPr>
              <w:t>“SCI至上”</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仿宋_GB2312" w:hAnsi="等线" w:eastAsia="仿宋_GB2312" w:cs="仿宋_GB2312"/>
                <w:color w:val="000000"/>
                <w:kern w:val="0"/>
                <w:sz w:val="24"/>
                <w:lang w:bidi="ar"/>
              </w:rPr>
              <w:t xml:space="preserve">雷朝滋 </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仿宋_GB2312" w:hAnsi="等线" w:eastAsia="仿宋_GB2312" w:cs="仿宋_GB2312"/>
                <w:color w:val="000000"/>
                <w:kern w:val="0"/>
                <w:sz w:val="24"/>
                <w:lang w:bidi="ar"/>
              </w:rPr>
              <w:t>教育部科学技术司司长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教育现代化进程中的大学治理</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钟秉林</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中国教育学会原会长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新时代应用型大学建设的探索与实践</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朱士中</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常熟理工学院原党委书记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24" w:type="dxa"/>
            <w:vMerge w:val="continue"/>
            <w:vAlign w:val="center"/>
          </w:tcPr>
          <w:p>
            <w:pPr>
              <w:jc w:val="center"/>
              <w:rPr>
                <w:rFonts w:ascii="Times New Roman" w:hAnsi="Times New Roman" w:eastAsia="仿宋_GB2312" w:cs="仿宋_GB2312"/>
                <w:b/>
                <w:bCs/>
                <w:color w:val="000000"/>
                <w:sz w:val="24"/>
              </w:rPr>
            </w:pPr>
          </w:p>
        </w:tc>
        <w:tc>
          <w:tcPr>
            <w:tcW w:w="4595" w:type="dxa"/>
            <w:vAlign w:val="center"/>
          </w:tcPr>
          <w:p>
            <w:pPr>
              <w:widowControl/>
              <w:jc w:val="left"/>
              <w:textAlignment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推进高等教育分类管理和高等学校综合</w:t>
            </w:r>
          </w:p>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改革,构建更加多元的高等教育体系</w:t>
            </w:r>
          </w:p>
        </w:tc>
        <w:tc>
          <w:tcPr>
            <w:tcW w:w="968" w:type="dxa"/>
            <w:vAlign w:val="center"/>
          </w:tcPr>
          <w:p>
            <w:pPr>
              <w:widowControl/>
              <w:jc w:val="center"/>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马陆亭</w:t>
            </w:r>
          </w:p>
        </w:tc>
        <w:tc>
          <w:tcPr>
            <w:tcW w:w="3301" w:type="dxa"/>
            <w:vAlign w:val="center"/>
          </w:tcPr>
          <w:p>
            <w:pPr>
              <w:widowControl/>
              <w:jc w:val="left"/>
              <w:textAlignment w:val="center"/>
              <w:rPr>
                <w:rFonts w:ascii="Times New Roman" w:hAnsi="Times New Roman" w:eastAsia="仿宋_GB2312" w:cs="仿宋_GB2312"/>
                <w:color w:val="000000"/>
                <w:sz w:val="24"/>
              </w:rPr>
            </w:pPr>
            <w:r>
              <w:rPr>
                <w:rFonts w:hint="eastAsia" w:ascii="Times New Roman" w:hAnsi="Times New Roman" w:eastAsia="仿宋_GB2312" w:cs="仿宋_GB2312"/>
                <w:color w:val="000000"/>
                <w:kern w:val="0"/>
                <w:sz w:val="24"/>
                <w:lang w:bidi="ar"/>
              </w:rPr>
              <w:t>中国教育科学研究院副院长</w:t>
            </w:r>
          </w:p>
        </w:tc>
      </w:tr>
    </w:tbl>
    <w:p>
      <w:pPr>
        <w:rPr>
          <w:rFonts w:ascii="仿宋_GB2312" w:hAnsi="仿宋_GB2312" w:eastAsia="仿宋_GB2312" w:cs="仿宋_GB2312"/>
          <w:sz w:val="24"/>
        </w:rPr>
      </w:pPr>
    </w:p>
    <w:p>
      <w:pPr>
        <w:rPr>
          <w:rFonts w:ascii="仿宋_GB2312" w:hAnsi="仿宋_GB2312" w:eastAsia="仿宋_GB2312" w:cs="仿宋_GB2312"/>
          <w:sz w:val="24"/>
        </w:rPr>
      </w:pPr>
      <w:r>
        <w:rPr>
          <w:rFonts w:hint="eastAsia" w:ascii="仿宋_GB2312" w:hAnsi="仿宋_GB2312" w:eastAsia="仿宋_GB2312" w:cs="仿宋_GB2312"/>
          <w:sz w:val="24"/>
        </w:rPr>
        <w:t>说明：1.个别课程或稍有调整，请以平台最终发布课程为准；</w:t>
      </w:r>
    </w:p>
    <w:p>
      <w:pPr>
        <w:ind w:firstLine="720" w:firstLineChars="300"/>
        <w:rPr>
          <w:rFonts w:ascii="仿宋_GB2312" w:hAnsi="仿宋_GB2312" w:eastAsia="仿宋_GB2312" w:cs="仿宋_GB2312"/>
          <w:sz w:val="24"/>
        </w:rPr>
        <w:sectPr>
          <w:footerReference r:id="rId3" w:type="default"/>
          <w:pgSz w:w="11906" w:h="16838"/>
          <w:pgMar w:top="1440" w:right="1800" w:bottom="1440" w:left="1800" w:header="567" w:footer="567" w:gutter="0"/>
          <w:cols w:space="720" w:num="1"/>
          <w:docGrid w:type="lines" w:linePitch="312" w:charSpace="0"/>
        </w:sectPr>
      </w:pPr>
      <w:r>
        <w:rPr>
          <w:rFonts w:hint="eastAsia" w:ascii="仿宋_GB2312" w:hAnsi="仿宋_GB2312" w:eastAsia="仿宋_GB2312" w:cs="仿宋_GB2312"/>
          <w:sz w:val="24"/>
        </w:rPr>
        <w:t>2.课程主讲人职务为课程录制时的职务。</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仿宋_GB2312" w:eastAsia="仿宋_GB2312"/>
      </w:rPr>
    </w:pPr>
    <w:r>
      <w:rPr>
        <w:rFonts w:hint="eastAsia" w:ascii="仿宋_GB2312" w:eastAsia="仿宋_GB2312"/>
      </w:rPr>
      <w:fldChar w:fldCharType="begin"/>
    </w:r>
    <w:r>
      <w:rPr>
        <w:rFonts w:hint="eastAsia" w:ascii="仿宋_GB2312" w:eastAsia="仿宋_GB2312"/>
      </w:rPr>
      <w:instrText xml:space="preserve">PAGE   \* MERGEFORMAT</w:instrText>
    </w:r>
    <w:r>
      <w:rPr>
        <w:rFonts w:hint="eastAsia" w:ascii="仿宋_GB2312" w:eastAsia="仿宋_GB2312"/>
      </w:rPr>
      <w:fldChar w:fldCharType="separate"/>
    </w:r>
    <w:r>
      <w:rPr>
        <w:rFonts w:ascii="仿宋_GB2312" w:eastAsia="仿宋_GB2312"/>
        <w:lang w:val="zh-CN"/>
      </w:rPr>
      <w:t>3</w:t>
    </w:r>
    <w:r>
      <w:rPr>
        <w:rFonts w:hint="eastAsia" w:ascii="仿宋_GB2312" w:eastAsia="仿宋_GB2312"/>
      </w:rPr>
      <w:fldChar w:fldCharType="end"/>
    </w:r>
  </w:p>
  <w:p>
    <w:pPr>
      <w:rPr>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wMjA5YzVjYzFmODNkNTVkNjEyOWExNTQxMTMyMTMifQ=="/>
  </w:docVars>
  <w:rsids>
    <w:rsidRoot w:val="6A1537FA"/>
    <w:rsid w:val="6A153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Times New Roman"/>
      <w:b/>
      <w:kern w:val="44"/>
      <w:sz w:val="48"/>
      <w:szCs w:val="48"/>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2023-09-19T00:51:00Z</dcterms:created>
  <dc:creator>Ù很diǎo</dc:creator>
  <cp:lastModifiedBy>Ù很diǎo</cp:lastModifiedBy>
  <dcterms:modified xsi:type="dcterms:W3CDTF">2023-09-19T00:51:37Z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4AD60808B79E4435B6E4A21220A652BF_11</vt:lpwstr>
  </property>
</Properties>
</file>